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25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Notifiable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9">
            <w:pPr>
              <w:spacing w:after="120" w:before="120" w:line="240" w:lineRule="auto"/>
              <w:rPr>
                <w:rFonts w:ascii="Arial" w:cs="Arial" w:eastAsia="Arial" w:hAnsi="Arial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4"/>
                <w:szCs w:val="24"/>
                <w:rtl w:val="0"/>
              </w:rPr>
              <w:t xml:space="preserve">[Guidance: Explain the Notifiable Default, with clear schedule and clause references as appropriate]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0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Notifiable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2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impact]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Notifiable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E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effect]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3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5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B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1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7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D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3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Notifiable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D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Notifiable Default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F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5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tabs>
                <w:tab w:val="left" w:leader="none" w:pos="796"/>
              </w:tabs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  <w:tab/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B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1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7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Buyer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spacing w:after="120" w:before="12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v.1.2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D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Schedule 25 (Rectification Plan), 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2023, [Subject to Contract]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jc w:val="righ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038C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4038CB"/>
    <w:rPr>
      <w:rFonts w:ascii="Segoe UI" w:cs="Segoe UI" w:hAnsi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E0723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0723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07236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O0JxWDJPnLIaYA+JZo80jL77tw==">CgMxLjAyCGguZ2pkZ3hzMgppZC4zMGowemxsMgloLjFmb2I5dGU4AHIhMVZubFNoR21KLWJZUDNNdWk3TWdWZVFZci1lLVpFWWFs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2023-07-27T02:39:00Z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</Properties>
</file>